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F8ABD">
      <w:pPr>
        <w:widowControl/>
        <w:shd w:val="clear" w:color="auto" w:fill="FFFFFF"/>
        <w:spacing w:line="263" w:lineRule="atLeast"/>
        <w:jc w:val="center"/>
        <w:rPr>
          <w:rFonts w:ascii="微软雅黑" w:hAnsi="微软雅黑" w:eastAsia="微软雅黑" w:cs="宋体"/>
          <w:color w:val="333333"/>
          <w:kern w:val="0"/>
          <w:szCs w:val="21"/>
        </w:rPr>
      </w:pPr>
      <w:r>
        <w:rPr>
          <w:rFonts w:hint="eastAsia" w:ascii="黑体" w:hAnsi="黑体" w:eastAsia="黑体" w:cs="宋体"/>
          <w:color w:val="333333"/>
          <w:kern w:val="0"/>
          <w:sz w:val="41"/>
          <w:szCs w:val="41"/>
        </w:rPr>
        <w:t>黄冈师范学院</w:t>
      </w:r>
    </w:p>
    <w:p w14:paraId="1FC8F65E">
      <w:pPr>
        <w:widowControl/>
        <w:shd w:val="clear" w:color="auto" w:fill="FFFFFF"/>
        <w:spacing w:line="263" w:lineRule="atLeast"/>
        <w:jc w:val="center"/>
        <w:rPr>
          <w:rFonts w:ascii="微软雅黑" w:hAnsi="微软雅黑" w:eastAsia="微软雅黑" w:cs="宋体"/>
          <w:color w:val="333333"/>
          <w:kern w:val="0"/>
          <w:szCs w:val="21"/>
        </w:rPr>
      </w:pPr>
      <w:r>
        <w:rPr>
          <w:rFonts w:ascii="Calibri" w:hAnsi="Calibri" w:eastAsia="微软雅黑" w:cs="Calibri"/>
          <w:color w:val="333333"/>
          <w:kern w:val="0"/>
          <w:sz w:val="36"/>
          <w:szCs w:val="36"/>
        </w:rPr>
        <w:t>202</w:t>
      </w:r>
      <w:r>
        <w:rPr>
          <w:rFonts w:hint="eastAsia" w:ascii="Calibri" w:hAnsi="Calibri" w:eastAsia="微软雅黑" w:cs="Calibri"/>
          <w:color w:val="333333"/>
          <w:kern w:val="0"/>
          <w:sz w:val="36"/>
          <w:szCs w:val="36"/>
          <w:lang w:val="en-US" w:eastAsia="zh-CN"/>
        </w:rPr>
        <w:t>7</w:t>
      </w:r>
      <w:r>
        <w:rPr>
          <w:rFonts w:hint="eastAsia" w:ascii="黑体" w:hAnsi="黑体" w:eastAsia="黑体" w:cs="宋体"/>
          <w:color w:val="333333"/>
          <w:kern w:val="0"/>
          <w:sz w:val="36"/>
          <w:szCs w:val="36"/>
        </w:rPr>
        <w:t>年硕士研究生入学考试自命题考试大纲</w:t>
      </w:r>
    </w:p>
    <w:p w14:paraId="71E09680">
      <w:pPr>
        <w:widowControl/>
        <w:shd w:val="clear" w:color="auto" w:fill="FFFFFF"/>
        <w:spacing w:line="263" w:lineRule="atLeast"/>
        <w:jc w:val="center"/>
        <w:rPr>
          <w:rFonts w:ascii="微软雅黑" w:hAnsi="微软雅黑" w:eastAsia="微软雅黑" w:cs="宋体"/>
          <w:color w:val="333333"/>
          <w:kern w:val="0"/>
          <w:szCs w:val="21"/>
        </w:rPr>
      </w:pPr>
      <w:r>
        <w:rPr>
          <w:rFonts w:hint="eastAsia" w:ascii="方正书宋简体" w:hAnsi="微软雅黑" w:eastAsia="方正书宋简体" w:cs="宋体"/>
          <w:color w:val="333333"/>
          <w:kern w:val="0"/>
          <w:sz w:val="30"/>
          <w:szCs w:val="30"/>
        </w:rPr>
        <w:t>考试科目代码：</w:t>
      </w:r>
      <w:r>
        <w:rPr>
          <w:rFonts w:ascii="Calibri" w:hAnsi="Calibri" w:eastAsia="微软雅黑" w:cs="Calibri"/>
          <w:color w:val="333333"/>
          <w:kern w:val="0"/>
          <w:sz w:val="30"/>
          <w:szCs w:val="30"/>
        </w:rPr>
        <w:t>[ 803 ]</w:t>
      </w:r>
      <w:r>
        <w:rPr>
          <w:rFonts w:hint="eastAsia" w:ascii="Calibri" w:hAnsi="Calibri" w:eastAsia="微软雅黑" w:cs="Calibri"/>
          <w:color w:val="333333"/>
          <w:kern w:val="0"/>
          <w:sz w:val="30"/>
          <w:szCs w:val="30"/>
        </w:rPr>
        <w:t xml:space="preserve">   </w:t>
      </w:r>
      <w:r>
        <w:rPr>
          <w:rFonts w:hint="eastAsia" w:ascii="方正书宋简体" w:hAnsi="微软雅黑" w:eastAsia="方正书宋简体" w:cs="宋体"/>
          <w:color w:val="333333"/>
          <w:kern w:val="0"/>
          <w:sz w:val="30"/>
          <w:szCs w:val="30"/>
        </w:rPr>
        <w:t>考试科目名称：</w:t>
      </w:r>
      <w:r>
        <w:rPr>
          <w:rFonts w:hint="eastAsia" w:ascii="Calibri" w:hAnsi="Calibri" w:eastAsia="微软雅黑" w:cs="Calibri"/>
          <w:color w:val="333333"/>
          <w:kern w:val="0"/>
          <w:sz w:val="30"/>
          <w:szCs w:val="30"/>
          <w:u w:val="single"/>
        </w:rPr>
        <w:t xml:space="preserve"> </w:t>
      </w:r>
      <w:r>
        <w:rPr>
          <w:rFonts w:hint="eastAsia" w:ascii="方正书宋简体" w:hAnsi="微软雅黑" w:eastAsia="方正书宋简体" w:cs="宋体"/>
          <w:color w:val="333333"/>
          <w:kern w:val="0"/>
          <w:sz w:val="30"/>
          <w:szCs w:val="30"/>
          <w:u w:val="single"/>
        </w:rPr>
        <w:t xml:space="preserve">数学教育学 </w:t>
      </w:r>
      <w:bookmarkStart w:id="0" w:name="_GoBack"/>
      <w:bookmarkEnd w:id="0"/>
    </w:p>
    <w:p w14:paraId="2A939443">
      <w:pPr>
        <w:widowControl/>
        <w:shd w:val="clear" w:color="auto" w:fill="FFFFFF"/>
        <w:spacing w:line="263" w:lineRule="atLeast"/>
        <w:jc w:val="center"/>
        <w:rPr>
          <w:rFonts w:ascii="微软雅黑" w:hAnsi="微软雅黑" w:eastAsia="微软雅黑" w:cs="宋体"/>
          <w:color w:val="333333"/>
          <w:kern w:val="0"/>
          <w:szCs w:val="21"/>
        </w:rPr>
      </w:pPr>
      <w:r>
        <w:rPr>
          <w:rFonts w:hint="eastAsia" w:ascii="黑体" w:hAnsi="黑体" w:eastAsia="黑体" w:cs="宋体"/>
          <w:color w:val="333333"/>
          <w:kern w:val="0"/>
          <w:sz w:val="32"/>
          <w:szCs w:val="32"/>
        </w:rPr>
        <w:t>考试类型</w:t>
      </w:r>
      <w:r>
        <w:rPr>
          <w:rFonts w:hint="eastAsia" w:ascii="黑体" w:hAnsi="黑体" w:eastAsia="黑体" w:cs="宋体"/>
          <w:color w:val="333333"/>
          <w:kern w:val="0"/>
          <w:sz w:val="32"/>
          <w:szCs w:val="32"/>
          <w:shd w:val="clear" w:color="auto" w:fill="FFFFFF"/>
        </w:rPr>
        <w:t>：</w:t>
      </w:r>
      <w:r>
        <w:rPr>
          <w:rFonts w:hint="eastAsia" w:ascii="MS Gothic" w:hAnsi="MS Gothic" w:eastAsia="MS Gothic" w:cs="宋体"/>
          <w:color w:val="333333"/>
          <w:kern w:val="0"/>
          <w:sz w:val="32"/>
          <w:szCs w:val="32"/>
          <w:shd w:val="clear" w:color="auto" w:fill="FFFFFF"/>
        </w:rPr>
        <w:t>☑</w:t>
      </w:r>
      <w:r>
        <w:rPr>
          <w:rFonts w:hint="eastAsia" w:ascii="黑体" w:hAnsi="黑体" w:eastAsia="黑体" w:cs="宋体"/>
          <w:color w:val="333333"/>
          <w:kern w:val="0"/>
          <w:sz w:val="32"/>
          <w:szCs w:val="32"/>
          <w:shd w:val="clear" w:color="auto" w:fill="FFFFFF"/>
        </w:rPr>
        <w:t xml:space="preserve">初试  </w:t>
      </w:r>
      <w:r>
        <w:rPr>
          <w:rFonts w:hint="eastAsia" w:ascii="黑体" w:hAnsi="黑体" w:eastAsia="黑体" w:cs="宋体"/>
          <w:color w:val="333333"/>
          <w:kern w:val="0"/>
          <w:sz w:val="32"/>
          <w:szCs w:val="32"/>
        </w:rPr>
        <w:t>□复试笔试  □加试</w:t>
      </w:r>
    </w:p>
    <w:p w14:paraId="06B4CA62">
      <w:pPr>
        <w:widowControl/>
        <w:shd w:val="clear" w:color="auto" w:fill="FFFFFF"/>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32"/>
          <w:szCs w:val="32"/>
        </w:rPr>
        <w:t>一、考查目标</w:t>
      </w:r>
    </w:p>
    <w:p w14:paraId="30C76AB9">
      <w:pPr>
        <w:widowControl/>
        <w:shd w:val="clear" w:color="auto" w:fill="FFFFFF"/>
        <w:spacing w:line="263" w:lineRule="atLeast"/>
        <w:ind w:firstLine="480" w:firstLineChars="200"/>
        <w:jc w:val="left"/>
        <w:rPr>
          <w:rFonts w:ascii="微软雅黑" w:hAnsi="微软雅黑" w:eastAsia="微软雅黑" w:cs="宋体"/>
          <w:color w:val="333333"/>
          <w:kern w:val="0"/>
          <w:szCs w:val="21"/>
        </w:rPr>
      </w:pPr>
      <w:r>
        <w:rPr>
          <w:rFonts w:hint="eastAsia" w:ascii="新宋体" w:hAnsi="新宋体" w:eastAsia="新宋体" w:cs="宋体"/>
          <w:color w:val="333333"/>
          <w:kern w:val="0"/>
          <w:sz w:val="24"/>
          <w:szCs w:val="24"/>
        </w:rPr>
        <w:t>要求考生系统掌握数学教育学的基本知识、基础理论和基本方法，并能运用相关理论和方法分析、解决中学数学教育教学实际问题。</w:t>
      </w:r>
    </w:p>
    <w:p w14:paraId="68ECFB68">
      <w:pPr>
        <w:widowControl/>
        <w:shd w:val="clear" w:color="auto" w:fill="FFFFFF"/>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32"/>
          <w:szCs w:val="32"/>
        </w:rPr>
        <w:t>二、考查形式与试卷结构</w:t>
      </w:r>
    </w:p>
    <w:p w14:paraId="52522C13">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24"/>
          <w:szCs w:val="24"/>
        </w:rPr>
        <w:t>（</w:t>
      </w:r>
      <w:r>
        <w:rPr>
          <w:rFonts w:hint="eastAsia" w:ascii="微软雅黑" w:hAnsi="微软雅黑" w:eastAsia="微软雅黑" w:cs="宋体"/>
          <w:b/>
          <w:bCs/>
          <w:color w:val="333333"/>
          <w:kern w:val="0"/>
          <w:sz w:val="24"/>
          <w:szCs w:val="24"/>
        </w:rPr>
        <w:t>1</w:t>
      </w:r>
      <w:r>
        <w:rPr>
          <w:rFonts w:hint="eastAsia" w:ascii="方正书宋简体" w:hAnsi="微软雅黑" w:eastAsia="方正书宋简体" w:cs="宋体"/>
          <w:b/>
          <w:bCs/>
          <w:color w:val="333333"/>
          <w:kern w:val="0"/>
          <w:sz w:val="24"/>
          <w:szCs w:val="24"/>
        </w:rPr>
        <w:t>）试卷成绩及考试时间</w:t>
      </w:r>
    </w:p>
    <w:p w14:paraId="48A7063F">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试卷满分为150分，考试时间为180分钟。</w:t>
      </w:r>
    </w:p>
    <w:p w14:paraId="2A62E153">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24"/>
          <w:szCs w:val="24"/>
        </w:rPr>
        <w:t>（</w:t>
      </w:r>
      <w:r>
        <w:rPr>
          <w:rFonts w:hint="eastAsia" w:ascii="微软雅黑" w:hAnsi="微软雅黑" w:eastAsia="微软雅黑" w:cs="宋体"/>
          <w:b/>
          <w:bCs/>
          <w:color w:val="333333"/>
          <w:kern w:val="0"/>
          <w:sz w:val="24"/>
          <w:szCs w:val="24"/>
        </w:rPr>
        <w:t>2</w:t>
      </w:r>
      <w:r>
        <w:rPr>
          <w:rFonts w:hint="eastAsia" w:ascii="方正书宋简体" w:hAnsi="微软雅黑" w:eastAsia="方正书宋简体" w:cs="宋体"/>
          <w:b/>
          <w:bCs/>
          <w:color w:val="333333"/>
          <w:kern w:val="0"/>
          <w:sz w:val="24"/>
          <w:szCs w:val="24"/>
        </w:rPr>
        <w:t>）答题方式</w:t>
      </w:r>
    </w:p>
    <w:p w14:paraId="1DC6CFD5">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答题方式为闭卷、笔试。</w:t>
      </w:r>
    </w:p>
    <w:p w14:paraId="3A055A6A">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24"/>
          <w:szCs w:val="24"/>
        </w:rPr>
        <w:t>（</w:t>
      </w:r>
      <w:r>
        <w:rPr>
          <w:rFonts w:hint="eastAsia" w:ascii="微软雅黑" w:hAnsi="微软雅黑" w:eastAsia="微软雅黑" w:cs="宋体"/>
          <w:b/>
          <w:bCs/>
          <w:color w:val="333333"/>
          <w:kern w:val="0"/>
          <w:sz w:val="24"/>
          <w:szCs w:val="24"/>
        </w:rPr>
        <w:t>3</w:t>
      </w:r>
      <w:r>
        <w:rPr>
          <w:rFonts w:hint="eastAsia" w:ascii="方正书宋简体" w:hAnsi="微软雅黑" w:eastAsia="方正书宋简体" w:cs="宋体"/>
          <w:b/>
          <w:bCs/>
          <w:color w:val="333333"/>
          <w:kern w:val="0"/>
          <w:sz w:val="24"/>
          <w:szCs w:val="24"/>
        </w:rPr>
        <w:t>）试卷内容及题型结构</w:t>
      </w:r>
    </w:p>
    <w:p w14:paraId="7D85F456">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试题难度结构力求合理，记忆、理解、综合性试题比例大致为2：5：3。</w:t>
      </w:r>
    </w:p>
    <w:p w14:paraId="2DC31791">
      <w:pPr>
        <w:widowControl/>
        <w:shd w:val="clear" w:color="auto" w:fill="FFFFFF"/>
        <w:spacing w:line="263" w:lineRule="atLeast"/>
        <w:ind w:firstLine="48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试题采用的题型一般为：名词解释题，简答题，案例分析题，论述题，实践操作题等题型。</w:t>
      </w:r>
    </w:p>
    <w:p w14:paraId="4055C582">
      <w:pPr>
        <w:widowControl/>
        <w:shd w:val="clear" w:color="auto" w:fill="FFFFFF"/>
        <w:jc w:val="left"/>
        <w:rPr>
          <w:rFonts w:ascii="微软雅黑" w:hAnsi="微软雅黑" w:eastAsia="微软雅黑" w:cs="宋体"/>
          <w:color w:val="333333"/>
          <w:kern w:val="0"/>
          <w:szCs w:val="21"/>
        </w:rPr>
      </w:pPr>
      <w:r>
        <w:rPr>
          <w:rFonts w:hint="eastAsia" w:ascii="方正书宋简体" w:hAnsi="微软雅黑" w:eastAsia="方正书宋简体" w:cs="宋体"/>
          <w:b/>
          <w:bCs/>
          <w:color w:val="333333"/>
          <w:kern w:val="0"/>
          <w:sz w:val="32"/>
          <w:szCs w:val="32"/>
        </w:rPr>
        <w:t>三、考试内容与考试要求</w:t>
      </w:r>
    </w:p>
    <w:p w14:paraId="2CBF47E4">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一、为什么要学习数学教育学</w:t>
      </w:r>
    </w:p>
    <w:p w14:paraId="4E69E68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5AED806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（1）数学教育成为一个专业和一门科学学科的历史；</w:t>
      </w:r>
    </w:p>
    <w:p w14:paraId="14495EA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（2）数学教育研究热点的演变；</w:t>
      </w:r>
    </w:p>
    <w:p w14:paraId="216EF45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（3）几个数学教育研究的案例。</w:t>
      </w:r>
    </w:p>
    <w:p w14:paraId="13804132">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4BF8D57E">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（1）了解数学教育学的研究对象、内容及其学习该学科的意义；</w:t>
      </w:r>
    </w:p>
    <w:p w14:paraId="3ACF439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（2）了解数学教育研究热点的演变及数学教育教学改革的一些做法；</w:t>
      </w:r>
    </w:p>
    <w:p w14:paraId="4368F5B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（3）了解和掌握数学和数学教育之间的关系，以及我国数学教育发展概况。</w:t>
      </w:r>
    </w:p>
    <w:p w14:paraId="7F513FAC">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二、与时俱进的数学教育</w:t>
      </w:r>
    </w:p>
    <w:p w14:paraId="10CB7C75">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2CA56B5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（1）20世纪数学观的变化；</w:t>
      </w:r>
    </w:p>
    <w:p w14:paraId="5651308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（2）20世纪我国数学教育观的变化；</w:t>
      </w:r>
    </w:p>
    <w:p w14:paraId="403A927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（3）国际视野下的中国数学教育。</w:t>
      </w:r>
    </w:p>
    <w:p w14:paraId="353BD07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6781279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（1）了解数学发展史上的四个高峰，以及这四个数学发展阶段的特征；</w:t>
      </w:r>
    </w:p>
    <w:p w14:paraId="5A78442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（2）理解20世纪数学教育观的变化及其特征；</w:t>
      </w:r>
    </w:p>
    <w:p w14:paraId="3670A47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（3）掌握20世纪数学观和我国数学教育观的变化；</w:t>
      </w:r>
    </w:p>
    <w:p w14:paraId="0453B4EA">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（4）掌握数学教育理念的发展历程；</w:t>
      </w:r>
    </w:p>
    <w:p w14:paraId="40EF2E8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（5）在国际视野下认识和理解中国的数学教育和数学教育改革，能够认识到东西方数学教育的差异。</w:t>
      </w:r>
    </w:p>
    <w:p w14:paraId="6BF29E8C">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三、数学教育的基本理论</w:t>
      </w:r>
    </w:p>
    <w:p w14:paraId="2AC4FBB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585340E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（1）弗赖登塔尔的数学教育理论；</w:t>
      </w:r>
    </w:p>
    <w:p w14:paraId="242080E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（2）波利亚的解题理论；</w:t>
      </w:r>
    </w:p>
    <w:p w14:paraId="78020DB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（3）建构主义的数学教育理论；</w:t>
      </w:r>
    </w:p>
    <w:p w14:paraId="0685A0B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（4）中国数学教育的道路。</w:t>
      </w:r>
    </w:p>
    <w:p w14:paraId="7564BB7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22C03C2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（1）了解和掌握主要的数学教育学的基本理论及其特征；</w:t>
      </w:r>
    </w:p>
    <w:p w14:paraId="4470EC5E">
      <w:pPr>
        <w:widowControl/>
        <w:shd w:val="clear" w:color="auto" w:fill="FFFFFF"/>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（2）深刻理解弗赖登塔尔的数学教育理论的三个原则和建构主义理论，理解杜威教育学说对数学教育的影响，掌握我国“双基”和“四基”数学教学理论中的成功与不足以及二者的区别和联系；</w:t>
      </w:r>
    </w:p>
    <w:p w14:paraId="1FC1D85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（3）能够结合数学教育理念对中学数学教学实践有理性的认识；</w:t>
      </w:r>
    </w:p>
    <w:p w14:paraId="50392A2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（4）能够应用数学教育现代教育理论对教育问题和教育现象进行一定的分析和解决。</w:t>
      </w:r>
    </w:p>
    <w:p w14:paraId="03B0B52A">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四、数学教育的核心内容</w:t>
      </w:r>
    </w:p>
    <w:p w14:paraId="765584D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04C0E9B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（1）数学教育目标及其确定；</w:t>
      </w:r>
    </w:p>
    <w:p w14:paraId="0B23762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（2）数学教学原则；</w:t>
      </w:r>
    </w:p>
    <w:p w14:paraId="04201DE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（3）数学知识的教学；</w:t>
      </w:r>
    </w:p>
    <w:p w14:paraId="3F77403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（4）数学能力的界定；</w:t>
      </w:r>
    </w:p>
    <w:p w14:paraId="0EDC9CD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（5）常用数学思想方法的教学；</w:t>
      </w:r>
    </w:p>
    <w:p w14:paraId="351C346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（6）基本数学活动经验；</w:t>
      </w:r>
    </w:p>
    <w:p w14:paraId="77CCEDA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（7）几种基本的数学教学模式；</w:t>
      </w:r>
    </w:p>
    <w:p w14:paraId="0CCFA6B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（8）数学教学的德育功能。</w:t>
      </w:r>
    </w:p>
    <w:p w14:paraId="4A15186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0AE8099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（1）了解数学教育的基本功能，掌握中学数学教育目标及其确定依据；</w:t>
      </w:r>
    </w:p>
    <w:p w14:paraId="2105CA2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（2）深刻理解数学教学原则并能在教育实践中进行运用，掌握数学知识的教学策略；</w:t>
      </w:r>
    </w:p>
    <w:p w14:paraId="788E646A">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（3）掌握几大数学能力以及数学能力的界定；</w:t>
      </w:r>
    </w:p>
    <w:p w14:paraId="2CD9594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（4）掌握数学思想方法的内涵及分类和中学数学中的方法；</w:t>
      </w:r>
    </w:p>
    <w:p w14:paraId="4335521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（5）掌握基本数学活动经验特征、类型与教学积累的教学策略；</w:t>
      </w:r>
    </w:p>
    <w:p w14:paraId="2ADB8E6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（6）了解几种基本的数学教学模式以及它们的特点和发展趋势；</w:t>
      </w:r>
    </w:p>
    <w:p w14:paraId="7291571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（7）理解并能够分析运用数学教学的德育功能，掌握数学学科的德育结构；</w:t>
      </w:r>
    </w:p>
    <w:p w14:paraId="50950B9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（8）能够应用数学思想方法、数学教育模式等理论并在现实案例中进行解释。</w:t>
      </w:r>
    </w:p>
    <w:p w14:paraId="0544F8D5">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五、数学教育研究的一些特定课题</w:t>
      </w:r>
    </w:p>
    <w:p w14:paraId="799F574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0F75EFB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（1）数学教学中数学本质的揭示；</w:t>
      </w:r>
    </w:p>
    <w:p w14:paraId="5ECF8EB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（2）学习心理学与数学教育；</w:t>
      </w:r>
    </w:p>
    <w:p w14:paraId="08F6FE8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（3）数学史及其在数学教育中的运用；</w:t>
      </w:r>
    </w:p>
    <w:p w14:paraId="39181BD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（4）数学教育技术；</w:t>
      </w:r>
    </w:p>
    <w:p w14:paraId="7E7459B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（5）数学资优生和学困生。</w:t>
      </w:r>
    </w:p>
    <w:p w14:paraId="17F78E4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2733B9E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（1）理解数学教学中对于数学本质的关注；</w:t>
      </w:r>
    </w:p>
    <w:p w14:paraId="3B9F5005">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（2）掌握数学教育学与数学教育心理学的关系，理解并掌握几种重要的数学学习理论；</w:t>
      </w:r>
    </w:p>
    <w:p w14:paraId="2FC869A2">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（3）了解数学史对数学教育的影响，理解数学史与数学文化的关系，掌握数学史的教学运用；</w:t>
      </w:r>
    </w:p>
    <w:p w14:paraId="283B33A5">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（4）能够应用数学本质、数学学习理论和数学史对数学教学过程中的问题和现状进行有效分析；</w:t>
      </w:r>
    </w:p>
    <w:p w14:paraId="393F718A">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（5）了解数学教学中常用的信息技术以及数学教师需要的技术；</w:t>
      </w:r>
    </w:p>
    <w:p w14:paraId="653063A2">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（6）了解数学资优生和学困生以及在教育教学中需要注意的问题。</w:t>
      </w:r>
    </w:p>
    <w:p w14:paraId="73EDFF73">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六、数学课程的制定与改革</w:t>
      </w:r>
    </w:p>
    <w:p w14:paraId="4035CE0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09798AF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（1）数学课程发展背景，变革的时代必然性；</w:t>
      </w:r>
    </w:p>
    <w:p w14:paraId="7343F2F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（2）现阶段我国数学教育改革的理念与进程；</w:t>
      </w:r>
    </w:p>
    <w:p w14:paraId="6F3337E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（3）《义务教育数学课程标准（2022年版）》和《普通高中数学课程标准（2017年版2020年修订）》的基本理念与主要内容和要求；</w:t>
      </w:r>
    </w:p>
    <w:p w14:paraId="2747C73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（4）数学建模、研究性学习与数学课程的关系。</w:t>
      </w:r>
    </w:p>
    <w:p w14:paraId="36463BB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1DC07D0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（1）了解数学课程发展改革的背景，认识时代变革和社会发展的必然性，理解数学课程改革的重要性；</w:t>
      </w:r>
    </w:p>
    <w:p w14:paraId="421FF75B">
      <w:pPr>
        <w:widowControl/>
        <w:shd w:val="clear" w:color="auto" w:fill="FFFFFF"/>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（2）了解现阶段我国数学教育改革理念与进程，认识其与传统数学课程的异同，理解《义务教育数学课程标准（2022年版）》和《普通高中数学课程标准（2017年版2020年修订）》的基本理念与主要内容和要求；</w:t>
      </w:r>
    </w:p>
    <w:p w14:paraId="6593DF1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（3）了解并正确认识数学建模及研究性学习的内涵与教学运用，了解如何进行数学研究性学习的过程；</w:t>
      </w:r>
    </w:p>
    <w:p w14:paraId="1037F8C5">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（4）能够运用最新课程标准要求对教学案例进行一定的分析。</w:t>
      </w:r>
    </w:p>
    <w:p w14:paraId="5BA5C128">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七、数学问题与数学考试</w:t>
      </w:r>
    </w:p>
    <w:p w14:paraId="79CE91A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7E3949B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（1）数学问题；</w:t>
      </w:r>
    </w:p>
    <w:p w14:paraId="2563DAC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（2）数学解题的一般过程、方法和策略；</w:t>
      </w:r>
    </w:p>
    <w:p w14:paraId="5EF312B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（3）数学问题解决的教学；</w:t>
      </w:r>
    </w:p>
    <w:p w14:paraId="40EF0A95">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（4）数学考试中的命题探讨。</w:t>
      </w:r>
    </w:p>
    <w:p w14:paraId="66E15E39">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359651ED">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（1）理解数学问题的内涵和分类；</w:t>
      </w:r>
    </w:p>
    <w:p w14:paraId="1565FE14">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（2）掌握数学解题的一般过程、方法和策略，并能在数学解题过程中加以运用；</w:t>
      </w:r>
    </w:p>
    <w:p w14:paraId="70005E6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（3）理解数学问题解决教学的意义、过程和策略，能够在面对不同的数学问题情境中得出相应的数学结论；</w:t>
      </w:r>
    </w:p>
    <w:p w14:paraId="3A1A167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（4）掌握数学考试中的试卷结构以及不同类型题目命制的要求。</w:t>
      </w:r>
    </w:p>
    <w:p w14:paraId="73C9D0CF">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八、数学课堂教学基本技能训练</w:t>
      </w:r>
    </w:p>
    <w:p w14:paraId="77AC1C5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1DEDBD29">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（1）如何吸引、启发和组织学生；</w:t>
      </w:r>
    </w:p>
    <w:p w14:paraId="538C403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（2）如何与学生交流；</w:t>
      </w:r>
    </w:p>
    <w:p w14:paraId="07749E8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（3）形成教学艺术风格。</w:t>
      </w:r>
    </w:p>
    <w:p w14:paraId="589A858E">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2295532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（1）掌握吸引学生的基本策略，启发学生数学学习的关键，组织学生的关键并能举出相应的数学教学案例进行分析；</w:t>
      </w:r>
    </w:p>
    <w:p w14:paraId="0C7B27F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（2）掌握与学生交流要注意的问题，可以利用哪些教学技能并促进和学生之间的互动；</w:t>
      </w:r>
    </w:p>
    <w:p w14:paraId="4B98BB4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（3）掌握教学风格的基本类型及形成过程，如何将基本的教学技能提升形成为个人的教学风格。</w:t>
      </w:r>
    </w:p>
    <w:p w14:paraId="58344E23">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九、数学教学设计</w:t>
      </w:r>
    </w:p>
    <w:p w14:paraId="11F4134F">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40CBA5D1">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（1）教案的三要素；</w:t>
      </w:r>
    </w:p>
    <w:p w14:paraId="1E52A35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（2）数学教学目标的确定；</w:t>
      </w:r>
    </w:p>
    <w:p w14:paraId="10CCD47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（3）设计意图的形成；</w:t>
      </w:r>
    </w:p>
    <w:p w14:paraId="4E77566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（4）教学过程的展示；</w:t>
      </w:r>
    </w:p>
    <w:p w14:paraId="113B6C7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（5）教学设计的基本要求。</w:t>
      </w:r>
    </w:p>
    <w:p w14:paraId="2B41410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5CFB7AE7">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（1）了解一个完整的教案包含的三要素，理解教学目标、教学意图以及教学过程的基本含义和形成过程；</w:t>
      </w:r>
    </w:p>
    <w:p w14:paraId="6E05D91B">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（2）熟练掌握教学设计的编写、能够明确教学目标、教学重难点、教学过程及教学依据；</w:t>
      </w:r>
    </w:p>
    <w:p w14:paraId="74F8AD79">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（3）掌握设计数学课堂教学各环节的基本理论；</w:t>
      </w:r>
    </w:p>
    <w:p w14:paraId="13140283">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（4）掌握设计不同课型的教学设计的方法以及在设计过程中需要注意的问题；</w:t>
      </w:r>
    </w:p>
    <w:p w14:paraId="2C489FA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（5）了解掌握在数学教学设计中应该体现哪些方面的内容。</w:t>
      </w:r>
    </w:p>
    <w:p w14:paraId="63DE4D98">
      <w:pPr>
        <w:widowControl/>
        <w:shd w:val="clear" w:color="auto" w:fill="FFFFFF"/>
        <w:spacing w:line="242" w:lineRule="atLeast"/>
        <w:ind w:firstLine="555"/>
        <w:jc w:val="center"/>
        <w:rPr>
          <w:rFonts w:ascii="微软雅黑" w:hAnsi="微软雅黑" w:eastAsia="微软雅黑" w:cs="宋体"/>
          <w:color w:val="333333"/>
          <w:kern w:val="0"/>
          <w:szCs w:val="21"/>
        </w:rPr>
      </w:pPr>
      <w:r>
        <w:rPr>
          <w:rFonts w:hint="eastAsia" w:ascii="宋体" w:hAnsi="宋体" w:eastAsia="宋体" w:cs="宋体"/>
          <w:b/>
          <w:bCs/>
          <w:color w:val="333333"/>
          <w:kern w:val="0"/>
          <w:sz w:val="29"/>
          <w:szCs w:val="29"/>
        </w:rPr>
        <w:t>十、数学教育实习实践</w:t>
      </w:r>
    </w:p>
    <w:p w14:paraId="3AA4F05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（一）考试内容</w:t>
      </w:r>
    </w:p>
    <w:p w14:paraId="3A32BBEC">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（1）学习说课；</w:t>
      </w:r>
    </w:p>
    <w:p w14:paraId="313476E9">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（2）微格教学技能；</w:t>
      </w:r>
    </w:p>
    <w:p w14:paraId="5EB45648">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（3）中学数学评课技能。</w:t>
      </w:r>
    </w:p>
    <w:p w14:paraId="3174C4A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b/>
          <w:bCs/>
          <w:color w:val="333333"/>
          <w:kern w:val="0"/>
          <w:sz w:val="24"/>
          <w:szCs w:val="24"/>
        </w:rPr>
        <w:t>（二）考试要求</w:t>
      </w:r>
    </w:p>
    <w:p w14:paraId="1618C84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（1）认识并掌握说课的内涵、内容与要求，能够将说课和讲课区别开来；</w:t>
      </w:r>
    </w:p>
    <w:p w14:paraId="5ECC9B00">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（2）了解并掌握微格教学技能及其内涵和基本的课堂教学技能训练方法；</w:t>
      </w:r>
    </w:p>
    <w:p w14:paraId="5F953266">
      <w:pPr>
        <w:widowControl/>
        <w:shd w:val="clear" w:color="auto" w:fill="FFFFFF"/>
        <w:spacing w:line="242" w:lineRule="atLeast"/>
        <w:ind w:firstLine="420"/>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（3）了解并掌握中学数学课的评课技能，能够理解和把握评价标准。</w:t>
      </w:r>
    </w:p>
    <w:p w14:paraId="60C3799D">
      <w:pPr>
        <w:widowControl/>
        <w:shd w:val="clear" w:color="auto" w:fill="FFFFFF"/>
        <w:spacing w:line="242" w:lineRule="atLeast"/>
        <w:ind w:firstLine="480"/>
        <w:jc w:val="left"/>
        <w:rPr>
          <w:rFonts w:ascii="微软雅黑" w:hAnsi="微软雅黑" w:eastAsia="微软雅黑" w:cs="宋体"/>
          <w:color w:val="333333"/>
          <w:kern w:val="0"/>
          <w:szCs w:val="21"/>
        </w:rPr>
      </w:pPr>
    </w:p>
    <w:p w14:paraId="79AC2B28">
      <w:pPr>
        <w:widowControl/>
        <w:shd w:val="clear" w:color="auto" w:fill="FFFFFF"/>
        <w:spacing w:line="242" w:lineRule="atLeast"/>
        <w:jc w:val="left"/>
        <w:rPr>
          <w:rFonts w:ascii="微软雅黑" w:hAnsi="微软雅黑" w:eastAsia="微软雅黑" w:cs="宋体"/>
          <w:color w:val="333333"/>
          <w:kern w:val="0"/>
          <w:szCs w:val="21"/>
        </w:rPr>
      </w:pPr>
      <w:r>
        <w:rPr>
          <w:rFonts w:hint="eastAsia" w:ascii="新宋体" w:hAnsi="新宋体" w:eastAsia="新宋体" w:cs="宋体"/>
          <w:b/>
          <w:bCs/>
          <w:color w:val="333333"/>
          <w:kern w:val="0"/>
          <w:sz w:val="29"/>
          <w:szCs w:val="29"/>
        </w:rPr>
        <w:t>主要参考书目：</w:t>
      </w:r>
    </w:p>
    <w:p w14:paraId="0B24A0BB">
      <w:pPr>
        <w:widowControl/>
        <w:shd w:val="clear" w:color="auto" w:fill="FFFFFF"/>
        <w:spacing w:line="242" w:lineRule="atLeast"/>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《数学教育概论》，张奠宙、宋乃庆主编，高等教育出版社，20</w:t>
      </w:r>
      <w:r>
        <w:rPr>
          <w:rFonts w:hint="eastAsia" w:ascii="宋体" w:hAnsi="宋体" w:eastAsia="宋体" w:cs="宋体"/>
          <w:color w:val="333333"/>
          <w:kern w:val="0"/>
          <w:sz w:val="24"/>
          <w:szCs w:val="24"/>
          <w:lang w:val="en-US" w:eastAsia="zh-CN"/>
        </w:rPr>
        <w:t>23</w:t>
      </w:r>
      <w:r>
        <w:rPr>
          <w:rFonts w:hint="eastAsia" w:ascii="宋体" w:hAnsi="宋体" w:eastAsia="宋体" w:cs="宋体"/>
          <w:color w:val="333333"/>
          <w:kern w:val="0"/>
          <w:sz w:val="24"/>
          <w:szCs w:val="24"/>
        </w:rPr>
        <w:t>年第</w:t>
      </w:r>
      <w:r>
        <w:rPr>
          <w:rFonts w:hint="eastAsia" w:ascii="宋体" w:hAnsi="宋体" w:eastAsia="宋体" w:cs="宋体"/>
          <w:color w:val="333333"/>
          <w:kern w:val="0"/>
          <w:sz w:val="24"/>
          <w:szCs w:val="24"/>
          <w:lang w:val="en-US" w:eastAsia="zh-CN"/>
        </w:rPr>
        <w:t>4</w:t>
      </w:r>
      <w:r>
        <w:rPr>
          <w:rFonts w:hint="eastAsia" w:ascii="宋体" w:hAnsi="宋体" w:eastAsia="宋体" w:cs="宋体"/>
          <w:color w:val="333333"/>
          <w:kern w:val="0"/>
          <w:sz w:val="24"/>
          <w:szCs w:val="24"/>
        </w:rPr>
        <w:t>版.</w:t>
      </w:r>
    </w:p>
    <w:p w14:paraId="68E150B3">
      <w:pPr>
        <w:widowControl/>
        <w:shd w:val="clear" w:color="auto" w:fill="FFFFFF"/>
        <w:spacing w:line="242" w:lineRule="atLeast"/>
        <w:jc w:val="left"/>
        <w:rPr>
          <w:rFonts w:ascii="微软雅黑" w:hAnsi="微软雅黑" w:eastAsia="微软雅黑" w:cs="宋体"/>
          <w:color w:val="333333"/>
          <w:kern w:val="0"/>
          <w:szCs w:val="21"/>
        </w:rPr>
      </w:pPr>
      <w:r>
        <w:rPr>
          <w:rFonts w:hint="eastAsia" w:ascii="宋体" w:hAnsi="宋体" w:eastAsia="宋体" w:cs="宋体"/>
          <w:color w:val="333333"/>
          <w:kern w:val="0"/>
          <w:sz w:val="24"/>
          <w:szCs w:val="24"/>
        </w:rPr>
        <w:t>《数学教学论》，胡典顺、徐汉文主编，华中师范大学出版社，2012年第1版</w:t>
      </w:r>
      <w:r>
        <w:rPr>
          <w:rFonts w:hint="eastAsia" w:ascii="微软雅黑" w:hAnsi="微软雅黑" w:eastAsia="微软雅黑" w:cs="宋体"/>
          <w:color w:val="333333"/>
          <w:kern w:val="0"/>
          <w:sz w:val="24"/>
          <w:szCs w:val="24"/>
        </w:rPr>
        <w:t>.</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书宋简体">
    <w:altName w:val="宋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099"/>
    <w:rsid w:val="00360E38"/>
    <w:rsid w:val="003A7661"/>
    <w:rsid w:val="00447F27"/>
    <w:rsid w:val="00620C5B"/>
    <w:rsid w:val="00820511"/>
    <w:rsid w:val="00963A4F"/>
    <w:rsid w:val="00B41099"/>
    <w:rsid w:val="00D02698"/>
    <w:rsid w:val="595F6077"/>
    <w:rsid w:val="6BCF1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2840</Words>
  <Characters>2877</Characters>
  <Lines>21</Lines>
  <Paragraphs>6</Paragraphs>
  <TotalTime>8</TotalTime>
  <ScaleCrop>false</ScaleCrop>
  <LinksUpToDate>false</LinksUpToDate>
  <CharactersWithSpaces>2888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2025-05-06T07:20:00Z</dcterms:created>
  <dc:creator>Administrator</dc:creator>
  <cp:lastModifiedBy>水木月</cp:lastModifiedBy>
  <dcterms:modified xsi:type="dcterms:W3CDTF">2026-09-20T09:17:09Z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eyJoZGlkIjoiZmI2YjMxMjY5ZGM5MzAyZDdlN2E2MTNkNzYzMTEwMDAiLCJ1c2VySWQiOiIzNzgyNzk5MzYifQ==</vt:lpwstr>
  </property>
  <property fmtid="{D5CDD505-2E9C-101B-9397-08002B2CF9AE}" pid="3" name="KSOProductBuildVer">
    <vt:lpwstr>2052-12.1.0.28043</vt:lpwstr>
  </property>
  <property fmtid="{D5CDD505-2E9C-101B-9397-08002B2CF9AE}" pid="4" name="ICV">
    <vt:lpwstr>D4A4E00B18154F6B9556CC638EC5AE69_12</vt:lpwstr>
  </property>
</Properties>
</file>